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4C4" w:rsidRDefault="00F140DE">
      <w:bookmarkStart w:id="0" w:name="_GoBack"/>
      <w:bookmarkEnd w:id="0"/>
    </w:p>
    <w:tbl>
      <w:tblPr>
        <w:tblW w:w="53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1"/>
        <w:gridCol w:w="1393"/>
        <w:gridCol w:w="745"/>
        <w:gridCol w:w="994"/>
        <w:gridCol w:w="3512"/>
        <w:gridCol w:w="197"/>
        <w:gridCol w:w="1091"/>
        <w:gridCol w:w="792"/>
        <w:gridCol w:w="608"/>
      </w:tblGrid>
      <w:tr w:rsidR="001872D9" w:rsidRPr="00A22864" w:rsidTr="00CC4336">
        <w:trPr>
          <w:trHeight w:val="227"/>
          <w:jc w:val="center"/>
        </w:trPr>
        <w:tc>
          <w:tcPr>
            <w:tcW w:w="1870" w:type="pct"/>
            <w:gridSpan w:val="4"/>
            <w:vAlign w:val="center"/>
          </w:tcPr>
          <w:p w:rsidR="001872D9" w:rsidRPr="00A22864" w:rsidRDefault="001872D9" w:rsidP="008F5958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130" w:type="pct"/>
            <w:gridSpan w:val="5"/>
            <w:vAlign w:val="center"/>
          </w:tcPr>
          <w:p w:rsidR="001872D9" w:rsidRPr="00A22864" w:rsidRDefault="001872D9" w:rsidP="008F5958">
            <w:pPr>
              <w:spacing w:after="60"/>
              <w:rPr>
                <w:lang w:val="sr-Cyrl-CS"/>
              </w:rPr>
            </w:pPr>
            <w:r>
              <w:rPr>
                <w:b/>
                <w:lang w:val="hr-HR"/>
              </w:rPr>
              <w:t>Оливера Станојловић</w:t>
            </w:r>
          </w:p>
        </w:tc>
      </w:tr>
      <w:tr w:rsidR="001872D9" w:rsidRPr="00A22864" w:rsidTr="00CC4336">
        <w:trPr>
          <w:trHeight w:val="227"/>
          <w:jc w:val="center"/>
        </w:trPr>
        <w:tc>
          <w:tcPr>
            <w:tcW w:w="1870" w:type="pct"/>
            <w:gridSpan w:val="4"/>
            <w:vAlign w:val="center"/>
          </w:tcPr>
          <w:p w:rsidR="001872D9" w:rsidRPr="00A22864" w:rsidRDefault="001872D9" w:rsidP="008F5958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130" w:type="pct"/>
            <w:gridSpan w:val="5"/>
            <w:vAlign w:val="center"/>
          </w:tcPr>
          <w:p w:rsidR="001872D9" w:rsidRPr="00A22864" w:rsidRDefault="001872D9" w:rsidP="008F5958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Редовни професор</w:t>
            </w:r>
          </w:p>
        </w:tc>
      </w:tr>
      <w:tr w:rsidR="001872D9" w:rsidRPr="00A22864" w:rsidTr="00CC4336">
        <w:trPr>
          <w:trHeight w:val="227"/>
          <w:jc w:val="center"/>
        </w:trPr>
        <w:tc>
          <w:tcPr>
            <w:tcW w:w="1870" w:type="pct"/>
            <w:gridSpan w:val="4"/>
            <w:vAlign w:val="center"/>
          </w:tcPr>
          <w:p w:rsidR="001872D9" w:rsidRPr="00A22864" w:rsidRDefault="001872D9" w:rsidP="008F5958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130" w:type="pct"/>
            <w:gridSpan w:val="5"/>
            <w:vAlign w:val="center"/>
          </w:tcPr>
          <w:p w:rsidR="001872D9" w:rsidRPr="001A6B22" w:rsidRDefault="001872D9" w:rsidP="008F5958">
            <w:pPr>
              <w:spacing w:after="60"/>
              <w:rPr>
                <w:lang w:val="hr-HR"/>
              </w:rPr>
            </w:pPr>
            <w:r>
              <w:rPr>
                <w:lang w:val="sr-Cyrl-CS"/>
              </w:rPr>
              <w:t>Медицинска фи</w:t>
            </w:r>
            <w:r>
              <w:rPr>
                <w:lang w:val="hr-HR"/>
              </w:rPr>
              <w:t>зиологија</w:t>
            </w:r>
          </w:p>
        </w:tc>
      </w:tr>
      <w:tr w:rsidR="001872D9" w:rsidRPr="00A22864" w:rsidTr="00CC4336">
        <w:trPr>
          <w:trHeight w:val="969"/>
          <w:jc w:val="center"/>
        </w:trPr>
        <w:tc>
          <w:tcPr>
            <w:tcW w:w="1368" w:type="pct"/>
            <w:gridSpan w:val="3"/>
            <w:vAlign w:val="center"/>
          </w:tcPr>
          <w:p w:rsidR="001872D9" w:rsidRPr="00A22864" w:rsidRDefault="001872D9" w:rsidP="008F5958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502" w:type="pct"/>
            <w:vAlign w:val="center"/>
          </w:tcPr>
          <w:p w:rsidR="001872D9" w:rsidRPr="00A22864" w:rsidRDefault="001872D9" w:rsidP="008F595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773" w:type="pct"/>
            <w:vAlign w:val="center"/>
          </w:tcPr>
          <w:p w:rsidR="001872D9" w:rsidRPr="00A22864" w:rsidRDefault="001872D9" w:rsidP="008F595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650" w:type="pct"/>
            <w:gridSpan w:val="2"/>
            <w:shd w:val="clear" w:color="auto" w:fill="auto"/>
            <w:vAlign w:val="center"/>
          </w:tcPr>
          <w:p w:rsidR="001872D9" w:rsidRPr="00A22864" w:rsidRDefault="001872D9" w:rsidP="008F595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</w:tcPr>
          <w:p w:rsidR="001872D9" w:rsidRPr="00646624" w:rsidRDefault="001872D9" w:rsidP="008F5958">
            <w:r>
              <w:t>Ужа научна односно уметничка област</w:t>
            </w:r>
          </w:p>
        </w:tc>
      </w:tr>
      <w:tr w:rsidR="001872D9" w:rsidRPr="00A22864" w:rsidTr="00CC4336">
        <w:trPr>
          <w:trHeight w:val="227"/>
          <w:jc w:val="center"/>
        </w:trPr>
        <w:tc>
          <w:tcPr>
            <w:tcW w:w="1368" w:type="pct"/>
            <w:gridSpan w:val="3"/>
            <w:vAlign w:val="center"/>
          </w:tcPr>
          <w:p w:rsidR="001872D9" w:rsidRPr="00A22864" w:rsidRDefault="001872D9" w:rsidP="008F595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502" w:type="pct"/>
            <w:vAlign w:val="center"/>
          </w:tcPr>
          <w:p w:rsidR="001872D9" w:rsidRPr="00A22864" w:rsidRDefault="001872D9" w:rsidP="008F5958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2013</w:t>
            </w:r>
          </w:p>
        </w:tc>
        <w:tc>
          <w:tcPr>
            <w:tcW w:w="1773" w:type="pct"/>
            <w:vAlign w:val="center"/>
          </w:tcPr>
          <w:p w:rsidR="001872D9" w:rsidRPr="00A22864" w:rsidRDefault="00CC4336" w:rsidP="008F5958">
            <w:pPr>
              <w:spacing w:after="60"/>
              <w:ind w:left="450" w:hanging="90"/>
              <w:rPr>
                <w:lang w:val="sr-Cyrl-CS"/>
              </w:rPr>
            </w:pPr>
            <w:r>
              <w:rPr>
                <w:lang w:val="sr-Cyrl-CS"/>
              </w:rPr>
              <w:t>Мединцински факултет у Београду</w:t>
            </w:r>
          </w:p>
        </w:tc>
        <w:tc>
          <w:tcPr>
            <w:tcW w:w="650" w:type="pct"/>
            <w:gridSpan w:val="2"/>
            <w:shd w:val="clear" w:color="auto" w:fill="auto"/>
            <w:vAlign w:val="center"/>
          </w:tcPr>
          <w:p w:rsidR="001872D9" w:rsidRPr="00A22864" w:rsidRDefault="001872D9" w:rsidP="008F5958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</w:tcPr>
          <w:p w:rsidR="001872D9" w:rsidRPr="00A22864" w:rsidRDefault="001872D9" w:rsidP="008F5958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</w:tr>
      <w:tr w:rsidR="001872D9" w:rsidRPr="00A22864" w:rsidTr="00CC4336">
        <w:trPr>
          <w:trHeight w:val="227"/>
          <w:jc w:val="center"/>
        </w:trPr>
        <w:tc>
          <w:tcPr>
            <w:tcW w:w="1368" w:type="pct"/>
            <w:gridSpan w:val="3"/>
            <w:vAlign w:val="center"/>
          </w:tcPr>
          <w:p w:rsidR="001872D9" w:rsidRPr="00A22864" w:rsidRDefault="001872D9" w:rsidP="008F595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502" w:type="pct"/>
            <w:vAlign w:val="center"/>
          </w:tcPr>
          <w:p w:rsidR="001872D9" w:rsidRPr="00A22864" w:rsidRDefault="001872D9" w:rsidP="008F5958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1999</w:t>
            </w:r>
          </w:p>
        </w:tc>
        <w:tc>
          <w:tcPr>
            <w:tcW w:w="1773" w:type="pct"/>
            <w:vAlign w:val="center"/>
          </w:tcPr>
          <w:p w:rsidR="001872D9" w:rsidRPr="00A22864" w:rsidRDefault="00CC4336" w:rsidP="008F5958">
            <w:pPr>
              <w:spacing w:after="60"/>
              <w:ind w:left="450" w:hanging="90"/>
              <w:rPr>
                <w:lang w:val="sr-Cyrl-CS"/>
              </w:rPr>
            </w:pPr>
            <w:r>
              <w:rPr>
                <w:lang w:val="sr-Cyrl-CS"/>
              </w:rPr>
              <w:t>Мединцински факултет у Београду</w:t>
            </w:r>
          </w:p>
        </w:tc>
        <w:tc>
          <w:tcPr>
            <w:tcW w:w="650" w:type="pct"/>
            <w:gridSpan w:val="2"/>
            <w:shd w:val="clear" w:color="auto" w:fill="auto"/>
            <w:vAlign w:val="center"/>
          </w:tcPr>
          <w:p w:rsidR="001872D9" w:rsidRPr="00A22864" w:rsidRDefault="001872D9" w:rsidP="008F5958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Медицинске науке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</w:tcPr>
          <w:p w:rsidR="001872D9" w:rsidRPr="00A22864" w:rsidRDefault="001872D9" w:rsidP="008F5958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Медицинске науке</w:t>
            </w:r>
          </w:p>
        </w:tc>
      </w:tr>
      <w:tr w:rsidR="001872D9" w:rsidRPr="00A22864" w:rsidTr="00CC4336">
        <w:trPr>
          <w:trHeight w:val="325"/>
          <w:jc w:val="center"/>
        </w:trPr>
        <w:tc>
          <w:tcPr>
            <w:tcW w:w="1368" w:type="pct"/>
            <w:gridSpan w:val="3"/>
            <w:vAlign w:val="center"/>
          </w:tcPr>
          <w:p w:rsidR="001872D9" w:rsidRPr="00646624" w:rsidRDefault="001872D9" w:rsidP="008F5958">
            <w:r>
              <w:t>Магистратура</w:t>
            </w:r>
          </w:p>
        </w:tc>
        <w:tc>
          <w:tcPr>
            <w:tcW w:w="502" w:type="pct"/>
            <w:vAlign w:val="center"/>
          </w:tcPr>
          <w:p w:rsidR="001872D9" w:rsidRPr="00A22864" w:rsidRDefault="001872D9" w:rsidP="008F5958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1993</w:t>
            </w:r>
          </w:p>
        </w:tc>
        <w:tc>
          <w:tcPr>
            <w:tcW w:w="1773" w:type="pct"/>
            <w:vAlign w:val="center"/>
          </w:tcPr>
          <w:p w:rsidR="001872D9" w:rsidRPr="00A22864" w:rsidRDefault="00CC4336" w:rsidP="008F5958">
            <w:pPr>
              <w:spacing w:after="60"/>
              <w:ind w:left="450" w:hanging="90"/>
              <w:rPr>
                <w:lang w:val="sr-Cyrl-CS"/>
              </w:rPr>
            </w:pPr>
            <w:r>
              <w:rPr>
                <w:lang w:val="sr-Cyrl-CS"/>
              </w:rPr>
              <w:t>Мединцински факултет у Београду</w:t>
            </w:r>
          </w:p>
        </w:tc>
        <w:tc>
          <w:tcPr>
            <w:tcW w:w="650" w:type="pct"/>
            <w:gridSpan w:val="2"/>
            <w:shd w:val="clear" w:color="auto" w:fill="auto"/>
            <w:vAlign w:val="center"/>
          </w:tcPr>
          <w:p w:rsidR="001872D9" w:rsidRPr="00A22864" w:rsidRDefault="001872D9" w:rsidP="008F5958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</w:tcPr>
          <w:p w:rsidR="001872D9" w:rsidRPr="00A22864" w:rsidRDefault="001872D9" w:rsidP="008F5958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</w:tr>
      <w:tr w:rsidR="001872D9" w:rsidRPr="00A22864" w:rsidTr="00CC4336">
        <w:trPr>
          <w:trHeight w:val="227"/>
          <w:jc w:val="center"/>
        </w:trPr>
        <w:tc>
          <w:tcPr>
            <w:tcW w:w="1368" w:type="pct"/>
            <w:gridSpan w:val="3"/>
            <w:vAlign w:val="center"/>
          </w:tcPr>
          <w:p w:rsidR="001872D9" w:rsidRDefault="001872D9" w:rsidP="008F5958">
            <w:r>
              <w:t>Мастер диплома</w:t>
            </w:r>
          </w:p>
        </w:tc>
        <w:tc>
          <w:tcPr>
            <w:tcW w:w="502" w:type="pct"/>
            <w:vAlign w:val="center"/>
          </w:tcPr>
          <w:p w:rsidR="001872D9" w:rsidRPr="00A22864" w:rsidRDefault="001872D9" w:rsidP="008F5958">
            <w:pPr>
              <w:spacing w:after="60"/>
              <w:ind w:left="450" w:hanging="90"/>
              <w:rPr>
                <w:lang w:val="sr-Cyrl-CS"/>
              </w:rPr>
            </w:pPr>
          </w:p>
        </w:tc>
        <w:tc>
          <w:tcPr>
            <w:tcW w:w="1773" w:type="pct"/>
            <w:vAlign w:val="center"/>
          </w:tcPr>
          <w:p w:rsidR="001872D9" w:rsidRPr="00A22864" w:rsidRDefault="001872D9" w:rsidP="008F5958">
            <w:pPr>
              <w:spacing w:after="60"/>
              <w:ind w:left="450" w:hanging="90"/>
              <w:rPr>
                <w:lang w:val="sr-Cyrl-CS"/>
              </w:rPr>
            </w:pPr>
          </w:p>
        </w:tc>
        <w:tc>
          <w:tcPr>
            <w:tcW w:w="650" w:type="pct"/>
            <w:gridSpan w:val="2"/>
            <w:shd w:val="clear" w:color="auto" w:fill="auto"/>
            <w:vAlign w:val="center"/>
          </w:tcPr>
          <w:p w:rsidR="001872D9" w:rsidRPr="00A22864" w:rsidRDefault="001872D9" w:rsidP="008F5958">
            <w:pPr>
              <w:spacing w:after="60"/>
              <w:ind w:left="450" w:hanging="90"/>
              <w:rPr>
                <w:lang w:val="sr-Cyrl-CS"/>
              </w:rPr>
            </w:pPr>
          </w:p>
        </w:tc>
        <w:tc>
          <w:tcPr>
            <w:tcW w:w="707" w:type="pct"/>
            <w:gridSpan w:val="2"/>
            <w:shd w:val="clear" w:color="auto" w:fill="auto"/>
            <w:vAlign w:val="center"/>
          </w:tcPr>
          <w:p w:rsidR="001872D9" w:rsidRPr="00A22864" w:rsidRDefault="001872D9" w:rsidP="008F5958">
            <w:pPr>
              <w:spacing w:after="60"/>
              <w:ind w:left="450" w:hanging="90"/>
              <w:rPr>
                <w:lang w:val="sr-Cyrl-CS"/>
              </w:rPr>
            </w:pPr>
          </w:p>
        </w:tc>
      </w:tr>
      <w:tr w:rsidR="001872D9" w:rsidRPr="00A22864" w:rsidTr="00CC4336">
        <w:trPr>
          <w:trHeight w:val="227"/>
          <w:jc w:val="center"/>
        </w:trPr>
        <w:tc>
          <w:tcPr>
            <w:tcW w:w="1368" w:type="pct"/>
            <w:gridSpan w:val="3"/>
            <w:vAlign w:val="center"/>
          </w:tcPr>
          <w:p w:rsidR="001872D9" w:rsidRPr="00A22864" w:rsidRDefault="001872D9" w:rsidP="008F595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502" w:type="pct"/>
            <w:vAlign w:val="center"/>
          </w:tcPr>
          <w:p w:rsidR="001872D9" w:rsidRPr="00A22864" w:rsidRDefault="001872D9" w:rsidP="008F5958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1989</w:t>
            </w:r>
          </w:p>
        </w:tc>
        <w:tc>
          <w:tcPr>
            <w:tcW w:w="1773" w:type="pct"/>
            <w:vAlign w:val="center"/>
          </w:tcPr>
          <w:p w:rsidR="001872D9" w:rsidRPr="00A22864" w:rsidRDefault="00CC4336" w:rsidP="008F5958">
            <w:pPr>
              <w:spacing w:after="60"/>
              <w:ind w:left="450" w:hanging="90"/>
              <w:rPr>
                <w:lang w:val="sr-Cyrl-CS"/>
              </w:rPr>
            </w:pPr>
            <w:r>
              <w:rPr>
                <w:lang w:val="sr-Cyrl-CS"/>
              </w:rPr>
              <w:t>Мединцински факултет у Београду</w:t>
            </w:r>
          </w:p>
        </w:tc>
        <w:tc>
          <w:tcPr>
            <w:tcW w:w="650" w:type="pct"/>
            <w:gridSpan w:val="2"/>
            <w:shd w:val="clear" w:color="auto" w:fill="auto"/>
            <w:vAlign w:val="center"/>
          </w:tcPr>
          <w:p w:rsidR="001872D9" w:rsidRPr="00A22864" w:rsidRDefault="001872D9" w:rsidP="008F5958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</w:tcPr>
          <w:p w:rsidR="001872D9" w:rsidRPr="00A22864" w:rsidRDefault="001872D9" w:rsidP="008F5958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</w:tr>
      <w:tr w:rsidR="001872D9" w:rsidRPr="00A22864" w:rsidTr="008F5958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1872D9" w:rsidRPr="00646624" w:rsidRDefault="001872D9" w:rsidP="008F5958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1872D9" w:rsidRPr="00A22864" w:rsidTr="00CC4336">
        <w:trPr>
          <w:trHeight w:val="255"/>
          <w:jc w:val="center"/>
        </w:trPr>
        <w:tc>
          <w:tcPr>
            <w:tcW w:w="288" w:type="pct"/>
            <w:shd w:val="clear" w:color="auto" w:fill="auto"/>
            <w:vAlign w:val="center"/>
          </w:tcPr>
          <w:p w:rsidR="001872D9" w:rsidRPr="00646624" w:rsidRDefault="001872D9" w:rsidP="008F5958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704" w:type="pct"/>
            <w:shd w:val="clear" w:color="auto" w:fill="auto"/>
            <w:vAlign w:val="center"/>
          </w:tcPr>
          <w:p w:rsidR="001872D9" w:rsidRPr="00646624" w:rsidRDefault="001872D9" w:rsidP="008F5958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4007" w:type="pct"/>
            <w:gridSpan w:val="7"/>
            <w:vAlign w:val="center"/>
          </w:tcPr>
          <w:p w:rsidR="001872D9" w:rsidRPr="00646624" w:rsidRDefault="001872D9" w:rsidP="008F5958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1872D9" w:rsidRPr="00A22864" w:rsidTr="00CC4336">
        <w:trPr>
          <w:trHeight w:val="227"/>
          <w:jc w:val="center"/>
        </w:trPr>
        <w:tc>
          <w:tcPr>
            <w:tcW w:w="288" w:type="pct"/>
            <w:shd w:val="clear" w:color="auto" w:fill="auto"/>
            <w:vAlign w:val="center"/>
          </w:tcPr>
          <w:p w:rsidR="001872D9" w:rsidRPr="00A22864" w:rsidRDefault="001872D9" w:rsidP="008F5958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704" w:type="pct"/>
            <w:shd w:val="clear" w:color="auto" w:fill="auto"/>
            <w:vAlign w:val="center"/>
          </w:tcPr>
          <w:p w:rsidR="001872D9" w:rsidRPr="00A22864" w:rsidRDefault="001872D9" w:rsidP="008F5958">
            <w:pPr>
              <w:rPr>
                <w:lang w:val="sr-Cyrl-CS"/>
              </w:rPr>
            </w:pPr>
          </w:p>
        </w:tc>
        <w:tc>
          <w:tcPr>
            <w:tcW w:w="4007" w:type="pct"/>
            <w:gridSpan w:val="7"/>
            <w:vAlign w:val="center"/>
          </w:tcPr>
          <w:p w:rsidR="001872D9" w:rsidRPr="00782868" w:rsidRDefault="001872D9" w:rsidP="008F5958">
            <w:pPr>
              <w:rPr>
                <w:lang w:val="hr-HR"/>
              </w:rPr>
            </w:pPr>
            <w:r>
              <w:rPr>
                <w:lang w:val="hr-HR"/>
              </w:rPr>
              <w:t>Увод у научни</w:t>
            </w:r>
            <w:r>
              <w:rPr>
                <w:lang w:val="sr-Cyrl-CS"/>
              </w:rPr>
              <w:t xml:space="preserve"> </w:t>
            </w:r>
            <w:r>
              <w:rPr>
                <w:lang w:val="hr-HR"/>
              </w:rPr>
              <w:t>рад</w:t>
            </w:r>
          </w:p>
        </w:tc>
      </w:tr>
      <w:tr w:rsidR="001872D9" w:rsidRPr="00A22864" w:rsidTr="00CC4336">
        <w:trPr>
          <w:trHeight w:val="227"/>
          <w:jc w:val="center"/>
        </w:trPr>
        <w:tc>
          <w:tcPr>
            <w:tcW w:w="288" w:type="pct"/>
            <w:shd w:val="clear" w:color="auto" w:fill="auto"/>
            <w:vAlign w:val="center"/>
          </w:tcPr>
          <w:p w:rsidR="001872D9" w:rsidRPr="00A22864" w:rsidRDefault="001872D9" w:rsidP="008F5958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704" w:type="pct"/>
            <w:shd w:val="clear" w:color="auto" w:fill="auto"/>
            <w:vAlign w:val="center"/>
          </w:tcPr>
          <w:p w:rsidR="001872D9" w:rsidRPr="00A22864" w:rsidRDefault="001872D9" w:rsidP="008F5958">
            <w:pPr>
              <w:rPr>
                <w:lang w:val="sr-Cyrl-CS"/>
              </w:rPr>
            </w:pPr>
          </w:p>
        </w:tc>
        <w:tc>
          <w:tcPr>
            <w:tcW w:w="4007" w:type="pct"/>
            <w:gridSpan w:val="7"/>
            <w:vAlign w:val="center"/>
          </w:tcPr>
          <w:p w:rsidR="001872D9" w:rsidRPr="00A22864" w:rsidRDefault="001872D9" w:rsidP="008F5958">
            <w:pPr>
              <w:rPr>
                <w:lang w:val="sr-Cyrl-CS"/>
              </w:rPr>
            </w:pPr>
            <w:r>
              <w:rPr>
                <w:lang w:val="sr-Cyrl-CS"/>
              </w:rPr>
              <w:t>Хомеостатски системи</w:t>
            </w:r>
          </w:p>
        </w:tc>
      </w:tr>
      <w:tr w:rsidR="001872D9" w:rsidRPr="00A22864" w:rsidTr="00CC4336">
        <w:trPr>
          <w:trHeight w:val="227"/>
          <w:jc w:val="center"/>
        </w:trPr>
        <w:tc>
          <w:tcPr>
            <w:tcW w:w="288" w:type="pct"/>
            <w:shd w:val="clear" w:color="auto" w:fill="auto"/>
            <w:vAlign w:val="center"/>
          </w:tcPr>
          <w:p w:rsidR="001872D9" w:rsidRPr="00A22864" w:rsidRDefault="001872D9" w:rsidP="008F5958">
            <w:pPr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704" w:type="pct"/>
            <w:shd w:val="clear" w:color="auto" w:fill="auto"/>
            <w:vAlign w:val="center"/>
          </w:tcPr>
          <w:p w:rsidR="001872D9" w:rsidRPr="00A22864" w:rsidRDefault="001872D9" w:rsidP="008F5958">
            <w:pPr>
              <w:rPr>
                <w:lang w:val="sr-Cyrl-CS"/>
              </w:rPr>
            </w:pPr>
          </w:p>
        </w:tc>
        <w:tc>
          <w:tcPr>
            <w:tcW w:w="4007" w:type="pct"/>
            <w:gridSpan w:val="7"/>
            <w:vAlign w:val="center"/>
          </w:tcPr>
          <w:p w:rsidR="001872D9" w:rsidRPr="00A22864" w:rsidRDefault="001872D9" w:rsidP="008F5958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Неурофизиологија </w:t>
            </w:r>
          </w:p>
        </w:tc>
      </w:tr>
      <w:tr w:rsidR="001872D9" w:rsidRPr="00A22864" w:rsidTr="00CC4336">
        <w:trPr>
          <w:trHeight w:val="241"/>
          <w:jc w:val="center"/>
        </w:trPr>
        <w:tc>
          <w:tcPr>
            <w:tcW w:w="288" w:type="pct"/>
            <w:shd w:val="clear" w:color="auto" w:fill="auto"/>
            <w:vAlign w:val="center"/>
          </w:tcPr>
          <w:p w:rsidR="001872D9" w:rsidRPr="00A22864" w:rsidRDefault="001872D9" w:rsidP="008F5958">
            <w:pPr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704" w:type="pct"/>
            <w:shd w:val="clear" w:color="auto" w:fill="auto"/>
            <w:vAlign w:val="center"/>
          </w:tcPr>
          <w:p w:rsidR="001872D9" w:rsidRPr="00A22864" w:rsidRDefault="001872D9" w:rsidP="008F5958">
            <w:pPr>
              <w:rPr>
                <w:lang w:val="sr-Cyrl-CS"/>
              </w:rPr>
            </w:pPr>
          </w:p>
        </w:tc>
        <w:tc>
          <w:tcPr>
            <w:tcW w:w="4007" w:type="pct"/>
            <w:gridSpan w:val="7"/>
            <w:vAlign w:val="center"/>
          </w:tcPr>
          <w:p w:rsidR="001872D9" w:rsidRPr="008A4243" w:rsidRDefault="001872D9" w:rsidP="008F5958">
            <w:pPr>
              <w:rPr>
                <w:lang w:val="hr-HR"/>
              </w:rPr>
            </w:pPr>
            <w:r>
              <w:rPr>
                <w:lang w:val="hr-HR"/>
              </w:rPr>
              <w:t>Транслациона неурофизиологија</w:t>
            </w:r>
          </w:p>
        </w:tc>
      </w:tr>
      <w:tr w:rsidR="001872D9" w:rsidRPr="00A22864" w:rsidTr="00CC4336">
        <w:trPr>
          <w:trHeight w:val="227"/>
          <w:jc w:val="center"/>
        </w:trPr>
        <w:tc>
          <w:tcPr>
            <w:tcW w:w="288" w:type="pct"/>
            <w:shd w:val="clear" w:color="auto" w:fill="auto"/>
            <w:vAlign w:val="center"/>
          </w:tcPr>
          <w:p w:rsidR="001872D9" w:rsidRPr="00A22864" w:rsidRDefault="001872D9" w:rsidP="008F5958">
            <w:pPr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  <w:tc>
          <w:tcPr>
            <w:tcW w:w="704" w:type="pct"/>
            <w:shd w:val="clear" w:color="auto" w:fill="auto"/>
            <w:vAlign w:val="center"/>
          </w:tcPr>
          <w:p w:rsidR="001872D9" w:rsidRPr="00A22864" w:rsidRDefault="001872D9" w:rsidP="008F5958">
            <w:pPr>
              <w:rPr>
                <w:lang w:val="sr-Cyrl-CS"/>
              </w:rPr>
            </w:pPr>
          </w:p>
        </w:tc>
        <w:tc>
          <w:tcPr>
            <w:tcW w:w="4007" w:type="pct"/>
            <w:gridSpan w:val="7"/>
          </w:tcPr>
          <w:p w:rsidR="001872D9" w:rsidRPr="00A22864" w:rsidRDefault="001872D9" w:rsidP="008F5958">
            <w:pPr>
              <w:rPr>
                <w:lang w:val="sr-Cyrl-CS"/>
              </w:rPr>
            </w:pPr>
            <w:r>
              <w:rPr>
                <w:lang w:val="hr-HR"/>
              </w:rPr>
              <w:t>Морфологија, ембриологија и физиологија хумане репродукције</w:t>
            </w:r>
          </w:p>
        </w:tc>
      </w:tr>
      <w:tr w:rsidR="001872D9" w:rsidRPr="00A22864" w:rsidTr="00CC4336">
        <w:trPr>
          <w:trHeight w:val="255"/>
          <w:jc w:val="center"/>
        </w:trPr>
        <w:tc>
          <w:tcPr>
            <w:tcW w:w="288" w:type="pct"/>
            <w:shd w:val="clear" w:color="auto" w:fill="auto"/>
            <w:vAlign w:val="center"/>
          </w:tcPr>
          <w:p w:rsidR="001872D9" w:rsidRPr="00A22864" w:rsidRDefault="001872D9" w:rsidP="008F5958">
            <w:pPr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  <w:tc>
          <w:tcPr>
            <w:tcW w:w="704" w:type="pct"/>
            <w:shd w:val="clear" w:color="auto" w:fill="auto"/>
            <w:vAlign w:val="center"/>
          </w:tcPr>
          <w:p w:rsidR="001872D9" w:rsidRPr="00A22864" w:rsidRDefault="001872D9" w:rsidP="008F5958">
            <w:pPr>
              <w:rPr>
                <w:lang w:val="sr-Cyrl-CS"/>
              </w:rPr>
            </w:pPr>
          </w:p>
        </w:tc>
        <w:tc>
          <w:tcPr>
            <w:tcW w:w="4007" w:type="pct"/>
            <w:gridSpan w:val="7"/>
          </w:tcPr>
          <w:p w:rsidR="001872D9" w:rsidRPr="006D0A7A" w:rsidRDefault="001872D9" w:rsidP="008F5958">
            <w:pPr>
              <w:rPr>
                <w:lang w:val="en-US"/>
              </w:rPr>
            </w:pPr>
            <w:r>
              <w:rPr>
                <w:lang w:val="hr-HR"/>
              </w:rPr>
              <w:t>Неуробиофизика</w:t>
            </w:r>
          </w:p>
        </w:tc>
      </w:tr>
      <w:tr w:rsidR="001872D9" w:rsidRPr="00A22864" w:rsidTr="008F5958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1872D9" w:rsidRPr="00A22864" w:rsidRDefault="001872D9" w:rsidP="008F5958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1872D9" w:rsidRPr="00A22864" w:rsidTr="00CC4336">
        <w:trPr>
          <w:trHeight w:val="535"/>
          <w:jc w:val="center"/>
        </w:trPr>
        <w:tc>
          <w:tcPr>
            <w:tcW w:w="288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1.</w:t>
            </w:r>
          </w:p>
        </w:tc>
        <w:tc>
          <w:tcPr>
            <w:tcW w:w="4405" w:type="pct"/>
            <w:gridSpan w:val="7"/>
            <w:shd w:val="clear" w:color="auto" w:fill="auto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 w:rsidRPr="00C365FD">
              <w:rPr>
                <w:szCs w:val="16"/>
              </w:rPr>
              <w:t xml:space="preserve">Hrnčić D, Rašić-Marković A, Djuric D, Šušić V, </w:t>
            </w:r>
            <w:r w:rsidRPr="00C365FD">
              <w:rPr>
                <w:b/>
                <w:szCs w:val="16"/>
              </w:rPr>
              <w:t>Stanojlović O</w:t>
            </w:r>
            <w:r w:rsidRPr="00C365FD">
              <w:rPr>
                <w:szCs w:val="16"/>
              </w:rPr>
              <w:t>. The role of nitric oxide in convulsions induced by lindane in rats. Food and Chemical Toxicology 2011; 49(4):947-954</w:t>
            </w:r>
          </w:p>
        </w:tc>
        <w:tc>
          <w:tcPr>
            <w:tcW w:w="307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M21</w:t>
            </w:r>
          </w:p>
        </w:tc>
      </w:tr>
      <w:tr w:rsidR="001872D9" w:rsidRPr="00A22864" w:rsidTr="00CC4336">
        <w:trPr>
          <w:trHeight w:val="227"/>
          <w:jc w:val="center"/>
        </w:trPr>
        <w:tc>
          <w:tcPr>
            <w:tcW w:w="288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2.</w:t>
            </w:r>
          </w:p>
        </w:tc>
        <w:tc>
          <w:tcPr>
            <w:tcW w:w="4405" w:type="pct"/>
            <w:gridSpan w:val="7"/>
            <w:shd w:val="clear" w:color="auto" w:fill="auto"/>
            <w:vAlign w:val="center"/>
          </w:tcPr>
          <w:p w:rsidR="001872D9" w:rsidRPr="00C365FD" w:rsidRDefault="001872D9" w:rsidP="008F5958">
            <w:pPr>
              <w:spacing w:after="60"/>
              <w:rPr>
                <w:lang w:val="sr-Cyrl-CS"/>
              </w:rPr>
            </w:pPr>
            <w:r w:rsidRPr="00C365FD">
              <w:rPr>
                <w:lang w:val="sr-Cyrl-CS"/>
              </w:rPr>
              <w:t xml:space="preserve">Mladenović D, Krstić D, Colović M, Radosavljević T, Rasić-Marković A, Hrncić D, Macut D, </w:t>
            </w:r>
            <w:r w:rsidRPr="00401347">
              <w:rPr>
                <w:b/>
                <w:lang w:val="sr-Cyrl-CS"/>
              </w:rPr>
              <w:t>Stanojlović O</w:t>
            </w:r>
            <w:r w:rsidRPr="00C365FD">
              <w:rPr>
                <w:lang w:val="sr-Cyrl-CS"/>
              </w:rPr>
              <w:t>. Different sensitivity of various brain structures tothioacetamide-indu</w:t>
            </w:r>
            <w:r>
              <w:rPr>
                <w:lang w:val="sr-Cyrl-CS"/>
              </w:rPr>
              <w:t>ced lipid peroxidation. Medl Chem 2012;</w:t>
            </w:r>
          </w:p>
        </w:tc>
        <w:tc>
          <w:tcPr>
            <w:tcW w:w="307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M22</w:t>
            </w:r>
          </w:p>
        </w:tc>
      </w:tr>
      <w:tr w:rsidR="001872D9" w:rsidRPr="00A22864" w:rsidTr="00CC4336">
        <w:trPr>
          <w:trHeight w:val="241"/>
          <w:jc w:val="center"/>
        </w:trPr>
        <w:tc>
          <w:tcPr>
            <w:tcW w:w="288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3.</w:t>
            </w:r>
          </w:p>
        </w:tc>
        <w:tc>
          <w:tcPr>
            <w:tcW w:w="4405" w:type="pct"/>
            <w:gridSpan w:val="7"/>
            <w:shd w:val="clear" w:color="auto" w:fill="auto"/>
            <w:vAlign w:val="center"/>
          </w:tcPr>
          <w:p w:rsidR="001872D9" w:rsidRPr="00401347" w:rsidRDefault="001872D9" w:rsidP="008F5958">
            <w:pPr>
              <w:spacing w:after="60"/>
              <w:rPr>
                <w:lang w:val="sr-Cyrl-CS"/>
              </w:rPr>
            </w:pPr>
            <w:r w:rsidRPr="00401347">
              <w:rPr>
                <w:lang w:val="sr-Cyrl-CS"/>
              </w:rPr>
              <w:t xml:space="preserve">Mladenović D, Radosavljević T, Hrnčić D, Rašić-Marković A, Puškaš N, Maksić N, Djuric D, </w:t>
            </w:r>
            <w:r w:rsidRPr="00401347">
              <w:rPr>
                <w:b/>
                <w:lang w:val="sr-Cyrl-CS"/>
              </w:rPr>
              <w:t>Stanojlović O</w:t>
            </w:r>
            <w:r w:rsidRPr="00401347">
              <w:rPr>
                <w:lang w:val="sr-Cyrl-CS"/>
              </w:rPr>
              <w:t>. Behavioral and electroencephalographic manifestations of thioacetamide-induced encephalopathy in rats. Canadian Journal of Physiology and Pharmacology 2012;90(9):1219-27.</w:t>
            </w:r>
          </w:p>
        </w:tc>
        <w:tc>
          <w:tcPr>
            <w:tcW w:w="307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M22</w:t>
            </w:r>
          </w:p>
        </w:tc>
      </w:tr>
      <w:tr w:rsidR="001872D9" w:rsidRPr="00A22864" w:rsidTr="00CC4336">
        <w:trPr>
          <w:trHeight w:val="227"/>
          <w:jc w:val="center"/>
        </w:trPr>
        <w:tc>
          <w:tcPr>
            <w:tcW w:w="288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4.</w:t>
            </w:r>
          </w:p>
        </w:tc>
        <w:tc>
          <w:tcPr>
            <w:tcW w:w="4405" w:type="pct"/>
            <w:gridSpan w:val="7"/>
            <w:shd w:val="clear" w:color="auto" w:fill="auto"/>
            <w:vAlign w:val="center"/>
          </w:tcPr>
          <w:p w:rsidR="001872D9" w:rsidRPr="00401347" w:rsidRDefault="001872D9" w:rsidP="008F5958">
            <w:pPr>
              <w:spacing w:after="60"/>
              <w:rPr>
                <w:lang w:val="sr-Cyrl-CS"/>
              </w:rPr>
            </w:pPr>
            <w:r w:rsidRPr="00401347">
              <w:rPr>
                <w:lang w:val="sr-Cyrl-CS"/>
              </w:rPr>
              <w:t xml:space="preserve">Hrnčić D, Rašić-Marković A, Krstić D, Macut Dj, Šušić V Djuric D, </w:t>
            </w:r>
            <w:r w:rsidRPr="00401347">
              <w:rPr>
                <w:b/>
                <w:lang w:val="sr-Cyrl-CS"/>
              </w:rPr>
              <w:t>Stanojlović O</w:t>
            </w:r>
            <w:r w:rsidRPr="00401347">
              <w:rPr>
                <w:lang w:val="sr-Cyrl-CS"/>
              </w:rPr>
              <w:t>. Inhibition of the neuronal nitric oxide synthase potentiates homocysteine thiolactone – induced seizures in adult rats. M</w:t>
            </w:r>
            <w:r>
              <w:rPr>
                <w:lang w:val="sr-Cyrl-CS"/>
              </w:rPr>
              <w:t>ed Chem 2012;</w:t>
            </w:r>
          </w:p>
        </w:tc>
        <w:tc>
          <w:tcPr>
            <w:tcW w:w="307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M22</w:t>
            </w:r>
          </w:p>
        </w:tc>
      </w:tr>
      <w:tr w:rsidR="001872D9" w:rsidRPr="00A22864" w:rsidTr="00CC4336">
        <w:trPr>
          <w:trHeight w:val="227"/>
          <w:jc w:val="center"/>
        </w:trPr>
        <w:tc>
          <w:tcPr>
            <w:tcW w:w="288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5.</w:t>
            </w:r>
          </w:p>
        </w:tc>
        <w:tc>
          <w:tcPr>
            <w:tcW w:w="4405" w:type="pct"/>
            <w:gridSpan w:val="7"/>
            <w:shd w:val="clear" w:color="auto" w:fill="auto"/>
            <w:vAlign w:val="center"/>
          </w:tcPr>
          <w:p w:rsidR="001872D9" w:rsidRPr="00401347" w:rsidRDefault="001872D9" w:rsidP="008F5958">
            <w:pPr>
              <w:spacing w:after="60"/>
              <w:rPr>
                <w:lang w:val="sr-Cyrl-CS"/>
              </w:rPr>
            </w:pPr>
            <w:r w:rsidRPr="00401347">
              <w:rPr>
                <w:b/>
                <w:lang w:val="sr-Cyrl-CS"/>
              </w:rPr>
              <w:t>Stanojlović O</w:t>
            </w:r>
            <w:r w:rsidRPr="00401347">
              <w:rPr>
                <w:lang w:val="sr-Cyrl-CS"/>
              </w:rPr>
              <w:t>, Nikolić T, Hrnčić D, Radonjić N, Rašić-Marković A, MladenovićD, Petronijević N. Ontogenetic influence on rat susceptibility to lindane seizure after pretreatment with phencyclidine. Environmental Toxicology and Pharmacology 2013;35(2):161-70.</w:t>
            </w:r>
          </w:p>
        </w:tc>
        <w:tc>
          <w:tcPr>
            <w:tcW w:w="307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M22</w:t>
            </w:r>
          </w:p>
        </w:tc>
      </w:tr>
      <w:tr w:rsidR="001872D9" w:rsidRPr="00A22864" w:rsidTr="00CC4336">
        <w:trPr>
          <w:trHeight w:val="227"/>
          <w:jc w:val="center"/>
        </w:trPr>
        <w:tc>
          <w:tcPr>
            <w:tcW w:w="288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6.</w:t>
            </w:r>
          </w:p>
        </w:tc>
        <w:tc>
          <w:tcPr>
            <w:tcW w:w="4405" w:type="pct"/>
            <w:gridSpan w:val="7"/>
            <w:shd w:val="clear" w:color="auto" w:fill="auto"/>
            <w:vAlign w:val="center"/>
          </w:tcPr>
          <w:p w:rsidR="001872D9" w:rsidRPr="00401347" w:rsidRDefault="001872D9" w:rsidP="008F5958">
            <w:pPr>
              <w:spacing w:after="60"/>
              <w:rPr>
                <w:lang w:val="sr-Cyrl-CS"/>
              </w:rPr>
            </w:pPr>
            <w:r w:rsidRPr="00401347">
              <w:rPr>
                <w:lang w:val="sr-Cyrl-CS"/>
              </w:rPr>
              <w:t xml:space="preserve">Hrnčić D, Rašić-Marković A, Macut-Bjekic J, Šušić V, Djuric D, </w:t>
            </w:r>
            <w:r w:rsidRPr="00401347">
              <w:rPr>
                <w:b/>
                <w:lang w:val="sr-Cyrl-CS"/>
              </w:rPr>
              <w:t>Stanojlović O</w:t>
            </w:r>
            <w:r w:rsidRPr="00401347">
              <w:rPr>
                <w:lang w:val="sr-Cyrl-CS"/>
              </w:rPr>
              <w:t>. Paradoxical sleep deprivation potentiates epilepsy induced by homocysteine th</w:t>
            </w:r>
            <w:r>
              <w:rPr>
                <w:lang w:val="sr-Cyrl-CS"/>
              </w:rPr>
              <w:t xml:space="preserve">iolactone in rats. Exp </w:t>
            </w:r>
            <w:r w:rsidRPr="00401347">
              <w:rPr>
                <w:lang w:val="sr-Cyrl-CS"/>
              </w:rPr>
              <w:t>Biology and Medicine 2013;238(1)77-83</w:t>
            </w:r>
          </w:p>
        </w:tc>
        <w:tc>
          <w:tcPr>
            <w:tcW w:w="307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M22</w:t>
            </w:r>
          </w:p>
        </w:tc>
      </w:tr>
      <w:tr w:rsidR="001872D9" w:rsidRPr="00A22864" w:rsidTr="00CC4336">
        <w:trPr>
          <w:trHeight w:val="227"/>
          <w:jc w:val="center"/>
        </w:trPr>
        <w:tc>
          <w:tcPr>
            <w:tcW w:w="288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7.</w:t>
            </w:r>
          </w:p>
        </w:tc>
        <w:tc>
          <w:tcPr>
            <w:tcW w:w="4405" w:type="pct"/>
            <w:gridSpan w:val="7"/>
            <w:shd w:val="clear" w:color="auto" w:fill="auto"/>
            <w:vAlign w:val="center"/>
          </w:tcPr>
          <w:p w:rsidR="001872D9" w:rsidRPr="00401347" w:rsidRDefault="001872D9" w:rsidP="008F5958">
            <w:pPr>
              <w:spacing w:after="60"/>
              <w:rPr>
                <w:lang w:val="sr-Cyrl-CS"/>
              </w:rPr>
            </w:pPr>
            <w:r w:rsidRPr="00401347">
              <w:rPr>
                <w:lang w:val="sr-Cyrl-CS"/>
              </w:rPr>
              <w:t xml:space="preserve">Mladenović D, Hrnčić D, Petronijević N, Jevtić G, Radosavljević T, Rasic-Marković A, Puškaš N, Maksić N, </w:t>
            </w:r>
            <w:r w:rsidRPr="00401347">
              <w:rPr>
                <w:b/>
                <w:lang w:val="sr-Cyrl-CS"/>
              </w:rPr>
              <w:t>Stanojlovic O.</w:t>
            </w:r>
            <w:r w:rsidRPr="00401347">
              <w:rPr>
                <w:lang w:val="sr-Cyrl-CS"/>
              </w:rPr>
              <w:t xml:space="preserve"> Finasteride improves motor, EEG and cellular changes in rat brain in thioacetamide-induced hepatic encephalopathy. Am J Physiol Gastrointest Liver Physiol. 2014; 307(9)G931-40 </w:t>
            </w:r>
          </w:p>
        </w:tc>
        <w:tc>
          <w:tcPr>
            <w:tcW w:w="307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M21</w:t>
            </w:r>
          </w:p>
        </w:tc>
      </w:tr>
      <w:tr w:rsidR="001872D9" w:rsidRPr="00A22864" w:rsidTr="00CC4336">
        <w:trPr>
          <w:trHeight w:val="227"/>
          <w:jc w:val="center"/>
        </w:trPr>
        <w:tc>
          <w:tcPr>
            <w:tcW w:w="288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8.</w:t>
            </w:r>
          </w:p>
        </w:tc>
        <w:tc>
          <w:tcPr>
            <w:tcW w:w="4405" w:type="pct"/>
            <w:gridSpan w:val="7"/>
            <w:shd w:val="clear" w:color="auto" w:fill="auto"/>
            <w:vAlign w:val="center"/>
          </w:tcPr>
          <w:p w:rsidR="001872D9" w:rsidRPr="00401347" w:rsidRDefault="001872D9" w:rsidP="008F5958">
            <w:pPr>
              <w:spacing w:after="60"/>
              <w:rPr>
                <w:lang w:val="sr-Cyrl-CS"/>
              </w:rPr>
            </w:pPr>
            <w:r w:rsidRPr="00401347">
              <w:rPr>
                <w:lang w:val="sr-Cyrl-CS"/>
              </w:rPr>
              <w:t xml:space="preserve">Hrnčić D, Rašić-Marković A, Leković J, Čolović M, Krstić D, Macut D, Šušić V, Djuric D, </w:t>
            </w:r>
            <w:r w:rsidRPr="00401347">
              <w:rPr>
                <w:b/>
                <w:lang w:val="sr-Cyrl-CS"/>
              </w:rPr>
              <w:t>Stanojlović O</w:t>
            </w:r>
            <w:r w:rsidRPr="00401347">
              <w:rPr>
                <w:lang w:val="sr-Cyrl-CS"/>
              </w:rPr>
              <w:t>. Exercise decreases susceptibility to homocysteine seizures: the role of oxidati</w:t>
            </w:r>
            <w:r>
              <w:rPr>
                <w:lang w:val="sr-Cyrl-CS"/>
              </w:rPr>
              <w:t xml:space="preserve">ve stress. Int J Sport Med </w:t>
            </w:r>
            <w:r w:rsidRPr="00401347">
              <w:rPr>
                <w:lang w:val="sr-Cyrl-CS"/>
              </w:rPr>
              <w:t xml:space="preserve">2014, </w:t>
            </w:r>
          </w:p>
        </w:tc>
        <w:tc>
          <w:tcPr>
            <w:tcW w:w="307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M21</w:t>
            </w:r>
          </w:p>
        </w:tc>
      </w:tr>
      <w:tr w:rsidR="001872D9" w:rsidRPr="00A22864" w:rsidTr="00CC4336">
        <w:trPr>
          <w:trHeight w:val="227"/>
          <w:jc w:val="center"/>
        </w:trPr>
        <w:tc>
          <w:tcPr>
            <w:tcW w:w="288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9.</w:t>
            </w:r>
          </w:p>
        </w:tc>
        <w:tc>
          <w:tcPr>
            <w:tcW w:w="4405" w:type="pct"/>
            <w:gridSpan w:val="7"/>
            <w:shd w:val="clear" w:color="auto" w:fill="auto"/>
            <w:vAlign w:val="center"/>
          </w:tcPr>
          <w:p w:rsidR="001872D9" w:rsidRPr="00401347" w:rsidRDefault="001872D9" w:rsidP="008F5958">
            <w:pPr>
              <w:spacing w:after="60"/>
              <w:rPr>
                <w:lang w:val="sr-Cyrl-CS"/>
              </w:rPr>
            </w:pPr>
            <w:r w:rsidRPr="00401347">
              <w:rPr>
                <w:lang w:val="sr-Cyrl-CS"/>
              </w:rPr>
              <w:t xml:space="preserve">Mladenović D, Petronijević N, Stojković T, Velimirović M, Jevtić G, Hrnčić D, Radosavljević T, Rašić-Marković A, Maksić N, Djuric D, </w:t>
            </w:r>
            <w:r w:rsidRPr="00401347">
              <w:rPr>
                <w:b/>
                <w:lang w:val="sr-Cyrl-CS"/>
              </w:rPr>
              <w:t>Stanojlović O</w:t>
            </w:r>
            <w:r w:rsidRPr="00401347">
              <w:rPr>
                <w:lang w:val="sr-Cyrl-CS"/>
              </w:rPr>
              <w:t xml:space="preserve">. Finasteride has regionally different effects on brain oxidative stress and acetylcholinesterase activity in acute thioacetamide-induced hepatic </w:t>
            </w:r>
            <w:r w:rsidRPr="00401347">
              <w:rPr>
                <w:lang w:val="sr-Cyrl-CS"/>
              </w:rPr>
              <w:lastRenderedPageBreak/>
              <w:t xml:space="preserve">encephalopathy in rats. PLoS One. 2015;10(8):e0134434. </w:t>
            </w:r>
          </w:p>
        </w:tc>
        <w:tc>
          <w:tcPr>
            <w:tcW w:w="307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lastRenderedPageBreak/>
              <w:t>M21</w:t>
            </w:r>
          </w:p>
        </w:tc>
      </w:tr>
      <w:tr w:rsidR="001872D9" w:rsidRPr="00A22864" w:rsidTr="00CC4336">
        <w:trPr>
          <w:trHeight w:val="227"/>
          <w:jc w:val="center"/>
        </w:trPr>
        <w:tc>
          <w:tcPr>
            <w:tcW w:w="288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lastRenderedPageBreak/>
              <w:t>10.</w:t>
            </w:r>
          </w:p>
        </w:tc>
        <w:tc>
          <w:tcPr>
            <w:tcW w:w="4405" w:type="pct"/>
            <w:gridSpan w:val="7"/>
            <w:shd w:val="clear" w:color="auto" w:fill="auto"/>
            <w:vAlign w:val="center"/>
          </w:tcPr>
          <w:p w:rsidR="001872D9" w:rsidRPr="00401347" w:rsidRDefault="001872D9" w:rsidP="008F5958">
            <w:pPr>
              <w:spacing w:after="60"/>
              <w:rPr>
                <w:lang w:val="sr-Cyrl-CS"/>
              </w:rPr>
            </w:pPr>
            <w:r w:rsidRPr="00401347">
              <w:rPr>
                <w:lang w:val="sr-Cyrl-CS"/>
              </w:rPr>
              <w:t xml:space="preserve">Rašić-Marković A, Rankov - Petrovic B, Hrnčić D, Krstic D, Colovic M, Macut Dj, Djuric D, </w:t>
            </w:r>
            <w:r w:rsidRPr="00401347">
              <w:rPr>
                <w:b/>
                <w:lang w:val="sr-Cyrl-CS"/>
              </w:rPr>
              <w:t>Stanojlović O</w:t>
            </w:r>
            <w:r w:rsidRPr="00401347">
              <w:rPr>
                <w:lang w:val="sr-Cyrl-CS"/>
              </w:rPr>
              <w:t>. The effect of subchronic supplementation with folic acid on homocysteine induced seizures. Acta Physiologica Hungarica 2015; 120(2):151-162.</w:t>
            </w:r>
          </w:p>
        </w:tc>
        <w:tc>
          <w:tcPr>
            <w:tcW w:w="307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M23</w:t>
            </w:r>
          </w:p>
        </w:tc>
      </w:tr>
      <w:tr w:rsidR="001872D9" w:rsidRPr="00A22864" w:rsidTr="00CC4336">
        <w:trPr>
          <w:trHeight w:val="227"/>
          <w:jc w:val="center"/>
        </w:trPr>
        <w:tc>
          <w:tcPr>
            <w:tcW w:w="288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11.</w:t>
            </w:r>
          </w:p>
        </w:tc>
        <w:tc>
          <w:tcPr>
            <w:tcW w:w="4405" w:type="pct"/>
            <w:gridSpan w:val="7"/>
            <w:shd w:val="clear" w:color="auto" w:fill="auto"/>
            <w:vAlign w:val="center"/>
          </w:tcPr>
          <w:p w:rsidR="001872D9" w:rsidRPr="00401347" w:rsidRDefault="001872D9" w:rsidP="008F5958">
            <w:pPr>
              <w:spacing w:after="60"/>
              <w:rPr>
                <w:lang w:val="sr-Cyrl-CS"/>
              </w:rPr>
            </w:pPr>
            <w:r w:rsidRPr="00401347">
              <w:rPr>
                <w:lang w:val="sr-Cyrl-CS"/>
              </w:rPr>
              <w:t xml:space="preserve">Mladenović D, Hrnčić D, Rašić-Marković A, Macut D, </w:t>
            </w:r>
            <w:r w:rsidRPr="00401347">
              <w:rPr>
                <w:b/>
                <w:lang w:val="sr-Cyrl-CS"/>
              </w:rPr>
              <w:t>Stanojlović O</w:t>
            </w:r>
            <w:r w:rsidRPr="00401347">
              <w:rPr>
                <w:lang w:val="sr-Cyrl-CS"/>
              </w:rPr>
              <w:t>. The Influence of Finasteride on Mean and Relative Spectral Density of EEG Bands in Rat Model of Thioacetamide-Induced Hepatic Encephalopathy. Neurotoxicology Research 2016 30(2):150-8</w:t>
            </w:r>
          </w:p>
        </w:tc>
        <w:tc>
          <w:tcPr>
            <w:tcW w:w="307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M22</w:t>
            </w:r>
          </w:p>
        </w:tc>
      </w:tr>
      <w:tr w:rsidR="001872D9" w:rsidRPr="00A22864" w:rsidTr="00CC4336">
        <w:trPr>
          <w:trHeight w:val="227"/>
          <w:jc w:val="center"/>
        </w:trPr>
        <w:tc>
          <w:tcPr>
            <w:tcW w:w="288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12.</w:t>
            </w:r>
          </w:p>
        </w:tc>
        <w:tc>
          <w:tcPr>
            <w:tcW w:w="4405" w:type="pct"/>
            <w:gridSpan w:val="7"/>
            <w:shd w:val="clear" w:color="auto" w:fill="auto"/>
            <w:vAlign w:val="center"/>
          </w:tcPr>
          <w:p w:rsidR="001872D9" w:rsidRPr="00401347" w:rsidRDefault="001872D9" w:rsidP="008F5958">
            <w:pPr>
              <w:spacing w:after="60"/>
              <w:rPr>
                <w:lang w:val="sr-Cyrl-CS"/>
              </w:rPr>
            </w:pPr>
            <w:r w:rsidRPr="00401347">
              <w:rPr>
                <w:lang w:val="sr-Cyrl-CS"/>
              </w:rPr>
              <w:t xml:space="preserve">Hrncic D, Mikić J, Rasic-Markovic A, Velimirović M, Stojković T, Obrenović R, Rankov-Petrović B, Šušić V, Djuric D, Petronijević N, </w:t>
            </w:r>
            <w:r w:rsidRPr="00401347">
              <w:rPr>
                <w:b/>
                <w:lang w:val="sr-Cyrl-CS"/>
              </w:rPr>
              <w:t>Stanojlovic O</w:t>
            </w:r>
            <w:r w:rsidRPr="00401347">
              <w:rPr>
                <w:lang w:val="sr-Cyrl-CS"/>
              </w:rPr>
              <w:t>. Anxiety-related behavior in hyperhomocysteinemia induced by methionine nutritional overload in rats: role of the brain oxidative stress. Canadian Journal of Physiology and Pharmacology 2016, 94(10):1074-1082</w:t>
            </w:r>
          </w:p>
        </w:tc>
        <w:tc>
          <w:tcPr>
            <w:tcW w:w="307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M23</w:t>
            </w:r>
          </w:p>
        </w:tc>
      </w:tr>
      <w:tr w:rsidR="001872D9" w:rsidRPr="00A22864" w:rsidTr="00CC4336">
        <w:trPr>
          <w:trHeight w:val="227"/>
          <w:jc w:val="center"/>
        </w:trPr>
        <w:tc>
          <w:tcPr>
            <w:tcW w:w="288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13.</w:t>
            </w:r>
          </w:p>
        </w:tc>
        <w:tc>
          <w:tcPr>
            <w:tcW w:w="4405" w:type="pct"/>
            <w:gridSpan w:val="7"/>
            <w:shd w:val="clear" w:color="auto" w:fill="auto"/>
            <w:vAlign w:val="center"/>
          </w:tcPr>
          <w:p w:rsidR="001872D9" w:rsidRPr="00401347" w:rsidRDefault="001872D9" w:rsidP="008F5958">
            <w:r w:rsidRPr="00401347">
              <w:t xml:space="preserve">Rasic-Markovic A, Hrncic D, Krstic D, Colovic M, Djuric E, Rankov-Petrovic B, Susic V, </w:t>
            </w:r>
            <w:r w:rsidRPr="00401347">
              <w:rPr>
                <w:b/>
              </w:rPr>
              <w:t>Stanojlovic O,</w:t>
            </w:r>
            <w:r w:rsidRPr="00401347">
              <w:t xml:space="preserve"> Djuric D. The effect of subchronic supplementation with folic acid and l-arginine on homocysteine-induced seizures. Canadian Journal of Physiology and Pharmacology 2016; 94(10)1083-1089</w:t>
            </w:r>
          </w:p>
        </w:tc>
        <w:tc>
          <w:tcPr>
            <w:tcW w:w="307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M23</w:t>
            </w:r>
          </w:p>
        </w:tc>
      </w:tr>
      <w:tr w:rsidR="001872D9" w:rsidRPr="00A22864" w:rsidTr="00CC4336">
        <w:trPr>
          <w:trHeight w:val="227"/>
          <w:jc w:val="center"/>
        </w:trPr>
        <w:tc>
          <w:tcPr>
            <w:tcW w:w="288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14.</w:t>
            </w:r>
          </w:p>
        </w:tc>
        <w:tc>
          <w:tcPr>
            <w:tcW w:w="4405" w:type="pct"/>
            <w:gridSpan w:val="7"/>
            <w:shd w:val="clear" w:color="auto" w:fill="auto"/>
            <w:vAlign w:val="center"/>
          </w:tcPr>
          <w:p w:rsidR="001872D9" w:rsidRPr="00401347" w:rsidRDefault="001872D9" w:rsidP="008F5958">
            <w:pPr>
              <w:spacing w:after="60"/>
              <w:rPr>
                <w:lang w:val="sr-Cyrl-CS"/>
              </w:rPr>
            </w:pPr>
            <w:r w:rsidRPr="00401347">
              <w:rPr>
                <w:lang w:val="sr-Cyrl-CS"/>
              </w:rPr>
              <w:t xml:space="preserve">Hrnčić D, Grubač Ž, Rašić-Marković A, Šutulović N, Šušić V, Bjekić-Macut J, </w:t>
            </w:r>
            <w:r w:rsidRPr="00401347">
              <w:rPr>
                <w:b/>
                <w:lang w:val="sr-Cyrl-CS"/>
              </w:rPr>
              <w:t>Stanojlović O</w:t>
            </w:r>
            <w:r w:rsidRPr="00401347">
              <w:rPr>
                <w:lang w:val="sr-Cyrl-CS"/>
              </w:rPr>
              <w:t>. Sleep disruption increases seizure susceptibility: Behavioral and EEG evaluation of an</w:t>
            </w:r>
            <w:r w:rsidRPr="00401347">
              <w:rPr>
                <w:lang w:val="sr-Cyrl-CS"/>
              </w:rPr>
              <w:cr/>
              <w:t>experimental model of sleep apnea. Physiology and Behavavior. 2016;155:188-194.</w:t>
            </w:r>
          </w:p>
        </w:tc>
        <w:tc>
          <w:tcPr>
            <w:tcW w:w="307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M22</w:t>
            </w:r>
          </w:p>
        </w:tc>
      </w:tr>
      <w:tr w:rsidR="001872D9" w:rsidRPr="00A22864" w:rsidTr="00CC4336">
        <w:trPr>
          <w:trHeight w:val="227"/>
          <w:jc w:val="center"/>
        </w:trPr>
        <w:tc>
          <w:tcPr>
            <w:tcW w:w="288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15.</w:t>
            </w:r>
          </w:p>
        </w:tc>
        <w:tc>
          <w:tcPr>
            <w:tcW w:w="4405" w:type="pct"/>
            <w:gridSpan w:val="7"/>
            <w:shd w:val="clear" w:color="auto" w:fill="auto"/>
            <w:vAlign w:val="center"/>
          </w:tcPr>
          <w:p w:rsidR="001872D9" w:rsidRPr="00401347" w:rsidRDefault="001872D9" w:rsidP="008F5958">
            <w:pPr>
              <w:spacing w:after="60"/>
              <w:rPr>
                <w:lang w:val="sr-Cyrl-CS"/>
              </w:rPr>
            </w:pPr>
            <w:r w:rsidRPr="00401347">
              <w:rPr>
                <w:lang w:val="sr-Cyrl-CS"/>
              </w:rPr>
              <w:t xml:space="preserve">Hrnčić D, Rasic-Markovic A, Macut D, Mladenovic D, Susic V, Djuric D, </w:t>
            </w:r>
            <w:r w:rsidRPr="00401347">
              <w:rPr>
                <w:b/>
                <w:lang w:val="sr-Cyrl-CS"/>
              </w:rPr>
              <w:t>Stanojlovic O</w:t>
            </w:r>
            <w:r w:rsidRPr="00401347">
              <w:rPr>
                <w:lang w:val="sr-Cyrl-CS"/>
              </w:rPr>
              <w:t>. Sulfur - Containing Amino Acids In Seizures: Current State Of The Art. Current Medicinal Chemistry 2018; 25(3):378-390,</w:t>
            </w:r>
          </w:p>
        </w:tc>
        <w:tc>
          <w:tcPr>
            <w:tcW w:w="307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M21</w:t>
            </w:r>
          </w:p>
        </w:tc>
      </w:tr>
      <w:tr w:rsidR="001872D9" w:rsidRPr="00A22864" w:rsidTr="00CC4336">
        <w:trPr>
          <w:trHeight w:val="227"/>
          <w:jc w:val="center"/>
        </w:trPr>
        <w:tc>
          <w:tcPr>
            <w:tcW w:w="288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16.</w:t>
            </w:r>
          </w:p>
        </w:tc>
        <w:tc>
          <w:tcPr>
            <w:tcW w:w="4405" w:type="pct"/>
            <w:gridSpan w:val="7"/>
            <w:shd w:val="clear" w:color="auto" w:fill="auto"/>
            <w:vAlign w:val="center"/>
          </w:tcPr>
          <w:p w:rsidR="001872D9" w:rsidRPr="00401347" w:rsidRDefault="001872D9" w:rsidP="008F5958">
            <w:pPr>
              <w:spacing w:after="60"/>
              <w:rPr>
                <w:lang w:val="sr-Cyrl-CS"/>
              </w:rPr>
            </w:pPr>
            <w:r w:rsidRPr="00401347">
              <w:rPr>
                <w:lang w:val="sr-Cyrl-CS"/>
              </w:rPr>
              <w:t xml:space="preserve">Mladenović D, Radosavljević T, Hrnčić D, Rasic-Markovic A, </w:t>
            </w:r>
            <w:r w:rsidRPr="00401347">
              <w:rPr>
                <w:b/>
                <w:lang w:val="sr-Cyrl-CS"/>
              </w:rPr>
              <w:t>Stanojlović O</w:t>
            </w:r>
            <w:r w:rsidRPr="00401347">
              <w:rPr>
                <w:lang w:val="sr-Cyrl-CS"/>
              </w:rPr>
              <w:t>. The effects of dietary methionine restriction on the function and metabolic reprogramming in the liver and brain - implications for longevity. Rev Neurosciences. 2019 Feb 28. pii:/j/revneuro.ahead-of- print/</w:t>
            </w:r>
          </w:p>
        </w:tc>
        <w:tc>
          <w:tcPr>
            <w:tcW w:w="307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M22</w:t>
            </w:r>
          </w:p>
        </w:tc>
      </w:tr>
      <w:tr w:rsidR="001872D9" w:rsidRPr="00A22864" w:rsidTr="00CC4336">
        <w:trPr>
          <w:trHeight w:val="227"/>
          <w:jc w:val="center"/>
        </w:trPr>
        <w:tc>
          <w:tcPr>
            <w:tcW w:w="288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17.</w:t>
            </w:r>
          </w:p>
        </w:tc>
        <w:tc>
          <w:tcPr>
            <w:tcW w:w="4405" w:type="pct"/>
            <w:gridSpan w:val="7"/>
            <w:shd w:val="clear" w:color="auto" w:fill="auto"/>
            <w:vAlign w:val="center"/>
          </w:tcPr>
          <w:p w:rsidR="001872D9" w:rsidRPr="00401347" w:rsidRDefault="001872D9" w:rsidP="008F5958">
            <w:pPr>
              <w:spacing w:after="60"/>
              <w:rPr>
                <w:lang w:val="sr-Cyrl-CS"/>
              </w:rPr>
            </w:pPr>
            <w:r w:rsidRPr="00401347">
              <w:rPr>
                <w:lang w:val="sr-Cyrl-CS"/>
              </w:rPr>
              <w:t xml:space="preserve">Rankov Petrovic B, Hrncic D, Mladenovic D, Simic T, Suvakov S, Jovanovic Dj, Puskas N, Zaletel I, Velimirovic M, Cirkovic V, Macut Dj, </w:t>
            </w:r>
            <w:r w:rsidRPr="00401347">
              <w:rPr>
                <w:b/>
                <w:lang w:val="sr-Cyrl-CS"/>
              </w:rPr>
              <w:t>Stanojlovic O</w:t>
            </w:r>
            <w:r w:rsidRPr="00401347">
              <w:rPr>
                <w:lang w:val="sr-Cyrl-CS"/>
              </w:rPr>
              <w:t>, Rasic-Markovic A. Prenatal androgenization induces anxiety-like behavior in female rats, associated with reduction of inhibitory interneurons and increased BDNF in hippocampus and cortex. Biomedical Reseach International 2019; 2019:3426092.</w:t>
            </w:r>
          </w:p>
        </w:tc>
        <w:tc>
          <w:tcPr>
            <w:tcW w:w="307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M22</w:t>
            </w:r>
          </w:p>
        </w:tc>
      </w:tr>
      <w:tr w:rsidR="001872D9" w:rsidRPr="00A22864" w:rsidTr="00CC4336">
        <w:trPr>
          <w:trHeight w:val="227"/>
          <w:jc w:val="center"/>
        </w:trPr>
        <w:tc>
          <w:tcPr>
            <w:tcW w:w="288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18.</w:t>
            </w:r>
          </w:p>
        </w:tc>
        <w:tc>
          <w:tcPr>
            <w:tcW w:w="4405" w:type="pct"/>
            <w:gridSpan w:val="7"/>
            <w:shd w:val="clear" w:color="auto" w:fill="auto"/>
            <w:vAlign w:val="center"/>
          </w:tcPr>
          <w:p w:rsidR="001872D9" w:rsidRPr="00401347" w:rsidRDefault="001872D9" w:rsidP="008F5958">
            <w:pPr>
              <w:spacing w:after="60"/>
              <w:rPr>
                <w:lang w:val="sr-Cyrl-CS"/>
              </w:rPr>
            </w:pPr>
            <w:r w:rsidRPr="00401347">
              <w:rPr>
                <w:lang w:val="sr-Cyrl-CS"/>
              </w:rPr>
              <w:t xml:space="preserve">Grubac Z, Sutulovic N, Ademovic A, Velimirovic M, Rasic-Markovic A, Macut D, Petronijevic N, </w:t>
            </w:r>
            <w:r w:rsidRPr="00401347">
              <w:rPr>
                <w:b/>
                <w:lang w:val="sr-Cyrl-CS"/>
              </w:rPr>
              <w:t>Stanojlovic O</w:t>
            </w:r>
            <w:r w:rsidRPr="00401347">
              <w:rPr>
                <w:lang w:val="sr-Cyrl-CS"/>
              </w:rPr>
              <w:t>, Hrncic D. Short-term sleep fragmentation enhances anxiety-related behavior: The role of hormonal alterations. PLoS One. 2019</w:t>
            </w:r>
          </w:p>
        </w:tc>
        <w:tc>
          <w:tcPr>
            <w:tcW w:w="307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M21</w:t>
            </w:r>
          </w:p>
        </w:tc>
      </w:tr>
      <w:tr w:rsidR="001872D9" w:rsidRPr="00A22864" w:rsidTr="00CC4336">
        <w:trPr>
          <w:trHeight w:val="227"/>
          <w:jc w:val="center"/>
        </w:trPr>
        <w:tc>
          <w:tcPr>
            <w:tcW w:w="288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19.</w:t>
            </w:r>
          </w:p>
        </w:tc>
        <w:tc>
          <w:tcPr>
            <w:tcW w:w="4405" w:type="pct"/>
            <w:gridSpan w:val="7"/>
            <w:shd w:val="clear" w:color="auto" w:fill="auto"/>
            <w:vAlign w:val="center"/>
          </w:tcPr>
          <w:p w:rsidR="001872D9" w:rsidRPr="00401347" w:rsidRDefault="001872D9" w:rsidP="008F5958">
            <w:pPr>
              <w:spacing w:after="60"/>
              <w:rPr>
                <w:lang w:val="sr-Cyrl-CS"/>
              </w:rPr>
            </w:pPr>
            <w:r w:rsidRPr="00401347">
              <w:rPr>
                <w:lang w:val="sr-Cyrl-CS"/>
              </w:rPr>
              <w:t xml:space="preserve">Šutulović N, Grubač Ž, Šuvakov S, Jerotić Đ, Puškaš N, Macut Đ, Rašić A, Simić T, </w:t>
            </w:r>
            <w:r w:rsidRPr="00401347">
              <w:rPr>
                <w:b/>
                <w:lang w:val="sr-Cyrl-CS"/>
              </w:rPr>
              <w:t>Stanojlović O</w:t>
            </w:r>
            <w:r w:rsidRPr="00401347">
              <w:rPr>
                <w:lang w:val="sr-Cyrl-CS"/>
              </w:rPr>
              <w:t>, Hrnčić D. Experimental chronic prostatitis/chronic pelvic pain syndrome increases anxiety-like behavior: the role of brain oxidative stress, serum corticosterone and hippocampal parvalbumin- positive interneurons, Oxidativе Medicine and Cellular Longevity 2021, Article ID 6687493, 17 pages</w:t>
            </w:r>
          </w:p>
        </w:tc>
        <w:tc>
          <w:tcPr>
            <w:tcW w:w="307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M21</w:t>
            </w:r>
          </w:p>
        </w:tc>
      </w:tr>
      <w:tr w:rsidR="001872D9" w:rsidRPr="00A22864" w:rsidTr="00CC4336">
        <w:trPr>
          <w:trHeight w:val="227"/>
          <w:jc w:val="center"/>
        </w:trPr>
        <w:tc>
          <w:tcPr>
            <w:tcW w:w="288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20.</w:t>
            </w:r>
          </w:p>
        </w:tc>
        <w:tc>
          <w:tcPr>
            <w:tcW w:w="4405" w:type="pct"/>
            <w:gridSpan w:val="7"/>
            <w:shd w:val="clear" w:color="auto" w:fill="auto"/>
            <w:vAlign w:val="center"/>
          </w:tcPr>
          <w:p w:rsidR="001872D9" w:rsidRPr="00401347" w:rsidRDefault="001872D9" w:rsidP="008F5958">
            <w:pPr>
              <w:spacing w:after="60"/>
              <w:rPr>
                <w:lang w:val="sr-Cyrl-CS"/>
              </w:rPr>
            </w:pPr>
            <w:r w:rsidRPr="00401347">
              <w:rPr>
                <w:lang w:val="sr-Cyrl-CS"/>
              </w:rPr>
              <w:t xml:space="preserve">Grubač Ž, Šutulović N, Šuvakov S, Jerotić D, Puškaš N, Macut D, Rašić-Marković A, Simić T, </w:t>
            </w:r>
            <w:r w:rsidRPr="00401347">
              <w:rPr>
                <w:b/>
                <w:lang w:val="sr-Cyrl-CS"/>
              </w:rPr>
              <w:t>Stanojlović O</w:t>
            </w:r>
            <w:r w:rsidRPr="00401347">
              <w:rPr>
                <w:lang w:val="sr-Cyrl-CS"/>
              </w:rPr>
              <w:t>, Hrnčić D. Anxiogenic Potential of Experimental Sleep Fragmentation Is Duration-Dependent and Mediated via Oxidative Stress State. Oxid Med Cell Longev. 2021 Aug 21;2021:2262913.</w:t>
            </w:r>
          </w:p>
        </w:tc>
        <w:tc>
          <w:tcPr>
            <w:tcW w:w="307" w:type="pct"/>
            <w:vAlign w:val="center"/>
          </w:tcPr>
          <w:p w:rsidR="001872D9" w:rsidRPr="00A22864" w:rsidRDefault="001872D9" w:rsidP="008F5958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M21</w:t>
            </w:r>
          </w:p>
        </w:tc>
      </w:tr>
      <w:tr w:rsidR="001872D9" w:rsidRPr="00A22864" w:rsidTr="008F5958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1872D9" w:rsidRPr="00A22864" w:rsidRDefault="001872D9" w:rsidP="008F5958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1872D9" w:rsidRPr="00A22864" w:rsidTr="00CC4336">
        <w:trPr>
          <w:trHeight w:val="227"/>
          <w:jc w:val="center"/>
        </w:trPr>
        <w:tc>
          <w:tcPr>
            <w:tcW w:w="3742" w:type="pct"/>
            <w:gridSpan w:val="6"/>
          </w:tcPr>
          <w:p w:rsidR="001872D9" w:rsidRPr="00363652" w:rsidRDefault="001872D9" w:rsidP="008F5958">
            <w:r w:rsidRPr="00363652">
              <w:t>Укупан број цитата, без аутоцитата</w:t>
            </w:r>
          </w:p>
        </w:tc>
        <w:tc>
          <w:tcPr>
            <w:tcW w:w="1258" w:type="pct"/>
            <w:gridSpan w:val="3"/>
          </w:tcPr>
          <w:p w:rsidR="001872D9" w:rsidRPr="00363652" w:rsidRDefault="001872D9" w:rsidP="008F5958">
            <w:r w:rsidRPr="00363652">
              <w:t>&gt; 650</w:t>
            </w:r>
          </w:p>
        </w:tc>
      </w:tr>
      <w:tr w:rsidR="001872D9" w:rsidRPr="00A22864" w:rsidTr="00CC4336">
        <w:trPr>
          <w:trHeight w:val="227"/>
          <w:jc w:val="center"/>
        </w:trPr>
        <w:tc>
          <w:tcPr>
            <w:tcW w:w="3742" w:type="pct"/>
            <w:gridSpan w:val="6"/>
          </w:tcPr>
          <w:p w:rsidR="001872D9" w:rsidRPr="00363652" w:rsidRDefault="001872D9" w:rsidP="008F5958">
            <w:r w:rsidRPr="00363652">
              <w:t>Укупан број радова са SCI (или SSCI) листе</w:t>
            </w:r>
          </w:p>
        </w:tc>
        <w:tc>
          <w:tcPr>
            <w:tcW w:w="1258" w:type="pct"/>
            <w:gridSpan w:val="3"/>
          </w:tcPr>
          <w:p w:rsidR="001872D9" w:rsidRPr="00363652" w:rsidRDefault="001872D9" w:rsidP="008F5958">
            <w:r w:rsidRPr="00363652">
              <w:t>&gt; 90</w:t>
            </w:r>
          </w:p>
        </w:tc>
      </w:tr>
      <w:tr w:rsidR="001872D9" w:rsidRPr="00A22864" w:rsidTr="00CC4336">
        <w:trPr>
          <w:trHeight w:val="227"/>
          <w:jc w:val="center"/>
        </w:trPr>
        <w:tc>
          <w:tcPr>
            <w:tcW w:w="3742" w:type="pct"/>
            <w:gridSpan w:val="6"/>
          </w:tcPr>
          <w:p w:rsidR="001872D9" w:rsidRPr="00363652" w:rsidRDefault="001872D9" w:rsidP="008F5958">
            <w:r w:rsidRPr="00363652">
              <w:t>Тренутно учешће на пројектима</w:t>
            </w:r>
          </w:p>
        </w:tc>
        <w:tc>
          <w:tcPr>
            <w:tcW w:w="551" w:type="pct"/>
          </w:tcPr>
          <w:p w:rsidR="001872D9" w:rsidRDefault="001872D9" w:rsidP="008F5958">
            <w:r w:rsidRPr="00363652">
              <w:t xml:space="preserve">Домаћи </w:t>
            </w:r>
          </w:p>
          <w:p w:rsidR="001872D9" w:rsidRPr="00363652" w:rsidRDefault="001872D9" w:rsidP="008F5958">
            <w:r>
              <w:t>2</w:t>
            </w:r>
          </w:p>
        </w:tc>
        <w:tc>
          <w:tcPr>
            <w:tcW w:w="707" w:type="pct"/>
            <w:gridSpan w:val="2"/>
          </w:tcPr>
          <w:p w:rsidR="001872D9" w:rsidRPr="00363652" w:rsidRDefault="001872D9" w:rsidP="008F5958">
            <w:r>
              <w:t>Међународни 3</w:t>
            </w:r>
          </w:p>
        </w:tc>
      </w:tr>
      <w:tr w:rsidR="001872D9" w:rsidRPr="00A22864" w:rsidTr="00CC4336">
        <w:trPr>
          <w:trHeight w:val="227"/>
          <w:jc w:val="center"/>
        </w:trPr>
        <w:tc>
          <w:tcPr>
            <w:tcW w:w="3742" w:type="pct"/>
            <w:gridSpan w:val="6"/>
            <w:vAlign w:val="center"/>
          </w:tcPr>
          <w:p w:rsidR="001872D9" w:rsidRPr="00C4380E" w:rsidRDefault="001872D9" w:rsidP="008F5958">
            <w:pPr>
              <w:rPr>
                <w:lang w:val="en-US"/>
              </w:rPr>
            </w:pPr>
            <w:r w:rsidRPr="00A22864">
              <w:rPr>
                <w:lang w:val="sr-Cyrl-CS"/>
              </w:rPr>
              <w:t xml:space="preserve">Усавршавања </w:t>
            </w:r>
            <w:r>
              <w:rPr>
                <w:lang w:val="sr-Cyrl-CS"/>
              </w:rPr>
              <w:t xml:space="preserve"> Шпанија Мађарска </w:t>
            </w:r>
          </w:p>
        </w:tc>
        <w:tc>
          <w:tcPr>
            <w:tcW w:w="1258" w:type="pct"/>
            <w:gridSpan w:val="3"/>
            <w:vAlign w:val="center"/>
          </w:tcPr>
          <w:p w:rsidR="001872D9" w:rsidRPr="00A22864" w:rsidRDefault="001872D9" w:rsidP="008F5958">
            <w:pPr>
              <w:rPr>
                <w:lang w:val="sr-Cyrl-CS"/>
              </w:rPr>
            </w:pPr>
          </w:p>
        </w:tc>
      </w:tr>
      <w:tr w:rsidR="001872D9" w:rsidRPr="00A22864" w:rsidTr="008F5958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1872D9" w:rsidRPr="00A22864" w:rsidRDefault="001872D9" w:rsidP="008F595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1872D9" w:rsidRPr="00A22864" w:rsidTr="008F5958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1872D9" w:rsidRPr="00A22864" w:rsidRDefault="001872D9" w:rsidP="008F595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1872D9" w:rsidRDefault="001872D9"/>
    <w:sectPr w:rsidR="001872D9" w:rsidSect="006D41C2">
      <w:headerReference w:type="default" r:id="rId6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0DE" w:rsidRDefault="00F140DE" w:rsidP="001872D9">
      <w:r>
        <w:separator/>
      </w:r>
    </w:p>
  </w:endnote>
  <w:endnote w:type="continuationSeparator" w:id="0">
    <w:p w:rsidR="00F140DE" w:rsidRDefault="00F140DE" w:rsidP="0018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0DE" w:rsidRDefault="00F140DE" w:rsidP="001872D9">
      <w:r>
        <w:separator/>
      </w:r>
    </w:p>
  </w:footnote>
  <w:footnote w:type="continuationSeparator" w:id="0">
    <w:p w:rsidR="00F140DE" w:rsidRDefault="00F140DE" w:rsidP="001872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2D9" w:rsidRPr="00EF2C9A" w:rsidRDefault="001872D9" w:rsidP="001872D9">
    <w:pPr>
      <w:spacing w:after="60"/>
      <w:jc w:val="center"/>
      <w:rPr>
        <w:iCs/>
        <w:sz w:val="22"/>
        <w:szCs w:val="22"/>
        <w:lang w:val="sr-Cyrl-CS"/>
      </w:rPr>
    </w:pPr>
    <w:r>
      <w:rPr>
        <w:b/>
        <w:iCs/>
        <w:sz w:val="22"/>
        <w:szCs w:val="22"/>
        <w:lang w:val="sr-Cyrl-CS"/>
      </w:rPr>
      <w:t>Табела. 9.</w:t>
    </w:r>
    <w:r>
      <w:rPr>
        <w:b/>
        <w:iCs/>
        <w:sz w:val="22"/>
        <w:szCs w:val="22"/>
      </w:rPr>
      <w:t>6</w:t>
    </w:r>
    <w:r>
      <w:rPr>
        <w:b/>
        <w:iCs/>
        <w:sz w:val="22"/>
        <w:szCs w:val="22"/>
        <w:lang w:val="sr-Cyrl-CS"/>
      </w:rPr>
      <w:t>.</w:t>
    </w:r>
    <w:r w:rsidRPr="00EF2C9A">
      <w:rPr>
        <w:sz w:val="22"/>
        <w:szCs w:val="22"/>
        <w:lang w:val="sr-Cyrl-CS"/>
      </w:rPr>
      <w:t xml:space="preserve"> Компетентност наставника</w:t>
    </w:r>
  </w:p>
  <w:p w:rsidR="001872D9" w:rsidRDefault="001872D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872D9"/>
    <w:rsid w:val="0008149E"/>
    <w:rsid w:val="000C738A"/>
    <w:rsid w:val="001872D9"/>
    <w:rsid w:val="00422810"/>
    <w:rsid w:val="004E5FF1"/>
    <w:rsid w:val="006A1CD3"/>
    <w:rsid w:val="006D41C2"/>
    <w:rsid w:val="007C38D4"/>
    <w:rsid w:val="00861CDC"/>
    <w:rsid w:val="00A222E2"/>
    <w:rsid w:val="00AB5499"/>
    <w:rsid w:val="00AD4A74"/>
    <w:rsid w:val="00CA4BC9"/>
    <w:rsid w:val="00CC4336"/>
    <w:rsid w:val="00F14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2D9"/>
    <w:pPr>
      <w:widowControl w:val="0"/>
      <w:autoSpaceDE w:val="0"/>
      <w:autoSpaceDN w:val="0"/>
      <w:adjustRightInd w:val="0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72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72D9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1872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72D9"/>
    <w:rPr>
      <w:rFonts w:ascii="Times New Roman" w:eastAsia="Cambria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1031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Gigatron</cp:lastModifiedBy>
  <cp:revision>3</cp:revision>
  <cp:lastPrinted>2021-11-14T13:26:00Z</cp:lastPrinted>
  <dcterms:created xsi:type="dcterms:W3CDTF">2021-11-14T20:18:00Z</dcterms:created>
  <dcterms:modified xsi:type="dcterms:W3CDTF">2021-11-22T12:51:00Z</dcterms:modified>
</cp:coreProperties>
</file>